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D3" w:rsidRPr="006038D3" w:rsidRDefault="006038D3" w:rsidP="006038D3">
      <w:pPr>
        <w:spacing w:before="120" w:after="120" w:line="360" w:lineRule="auto"/>
        <w:ind w:left="0" w:hanging="2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6038D3">
        <w:rPr>
          <w:rFonts w:ascii="Book Antiqua" w:eastAsia="Book Antiqua" w:hAnsi="Book Antiqua" w:cs="Book Antiqua"/>
          <w:b/>
          <w:bCs/>
          <w:sz w:val="24"/>
          <w:szCs w:val="24"/>
        </w:rPr>
        <w:t>Asignaturas para las cuales se convoca</w:t>
      </w:r>
      <w:r w:rsidRPr="006038D3">
        <w:rPr>
          <w:rFonts w:ascii="Book Antiqua" w:eastAsia="Book Antiqua" w:hAnsi="Book Antiqua" w:cs="Book Antiqua"/>
          <w:b/>
          <w:bCs/>
          <w:sz w:val="24"/>
          <w:szCs w:val="24"/>
          <w:vertAlign w:val="superscript"/>
        </w:rPr>
        <w:footnoteReference w:id="1"/>
      </w:r>
    </w:p>
    <w:p w:rsidR="006038D3" w:rsidRPr="006038D3" w:rsidRDefault="006038D3" w:rsidP="006038D3">
      <w:pPr>
        <w:spacing w:before="120" w:after="120" w:line="360" w:lineRule="auto"/>
        <w:ind w:left="0" w:hanging="2"/>
        <w:jc w:val="center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6038D3">
        <w:rPr>
          <w:rFonts w:ascii="Book Antiqua" w:eastAsia="Book Antiqua" w:hAnsi="Book Antiqua" w:cs="Book Antiqua"/>
          <w:b/>
          <w:bCs/>
          <w:sz w:val="24"/>
          <w:szCs w:val="24"/>
        </w:rPr>
        <w:t>ABOGACÍA Y TECNICATURA EN GESTIÓN PÚBLICA</w:t>
      </w:r>
    </w:p>
    <w:p w:rsidR="006038D3" w:rsidRDefault="006038D3" w:rsidP="006038D3">
      <w:pPr>
        <w:spacing w:before="120" w:after="120" w:line="360" w:lineRule="auto"/>
        <w:ind w:left="0" w:hanging="2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DEPARTAMENTO DE DERECHO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PRIVADO.-</w:t>
      </w:r>
      <w:proofErr w:type="gramEnd"/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Instituciones de Derecho privado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Derecho de las Obligaciones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 de los Contratos Parte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General  (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>1 cargo)</w:t>
      </w:r>
      <w:bookmarkStart w:id="0" w:name="_GoBack"/>
      <w:bookmarkEnd w:id="0"/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Derecho Laboral y de la Seguridad Social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Derechos Reales e Intelectuales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 Concursal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8" w:hangingChars="296" w:hanging="71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Derecho de la Familia y Sucesiones Plan 2001 /Derecho de las Familias Plan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2018  (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>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Elementos de Derecho Constitucional (1 cargo)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Elementos de Derechos Humanos (1 cargo)</w:t>
      </w: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DEPARTAMENTO DE FILOSOFÍA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Epistemología de las Ciencias Sociales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Introducción al Derecho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Historia del Derecho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Introducción a la Sociología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Ética Aplicada y de la Abogacía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Metodología de la Investigación Científica (2 cargos) </w:t>
      </w:r>
    </w:p>
    <w:p w:rsidR="006038D3" w:rsidRDefault="006038D3" w:rsidP="006038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DEPARTAMENTO DE DERECHO PÚBLICO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Teoría del Estado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 Constitucional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Derechos Humanos y Garantías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Historia Social y Política de las Instituciones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Teoría de la Responsabilidad Penal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 Administrativo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Instituciones de Derecho Administrativo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 Financiero y Tributario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Derecho Ambiental y de los Recursos Naturales (2 cargos) </w:t>
      </w: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DEPARTAMENTO DE DERECHO PROCESAL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Teoría General del Proceso (1 cargo).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Medios de Solución de Controversias (2 cargos) </w:t>
      </w:r>
    </w:p>
    <w:p w:rsidR="006038D3" w:rsidRDefault="006038D3" w:rsidP="00603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6038D3" w:rsidRDefault="006038D3" w:rsidP="006038D3">
      <w:pPr>
        <w:spacing w:before="120" w:after="12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DEPARTAMENTO DE PRÁCTICA PROFESIONAL: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Taller de Escritura Jurídica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Taller de Oratoria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Taller de Argumentación Jurídica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Taller de Litigio en Casos de Interés Público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Taller de Estrategia del Caso y de la Prueba (2 cargos)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Producción de textos y argumentación (1 cargo)</w:t>
      </w:r>
    </w:p>
    <w:p w:rsidR="006038D3" w:rsidRDefault="006038D3" w:rsidP="00603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6038D3" w:rsidRDefault="006038D3" w:rsidP="00603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DEPARTAMENTO DE GESTIÓN PÚBLICA Y ADMINISTRACIÓN </w:t>
      </w:r>
    </w:p>
    <w:p w:rsidR="006038D3" w:rsidRDefault="006038D3" w:rsidP="006038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Economía (2 cargos) 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Introducción a la Ciencia Política (1 cargo)</w:t>
      </w:r>
    </w:p>
    <w:p w:rsidR="006038D3" w:rsidRDefault="006038D3" w:rsidP="00603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Administración  (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>1 cargo)</w:t>
      </w:r>
    </w:p>
    <w:p w:rsidR="007B6EE0" w:rsidRDefault="007B6EE0">
      <w:pPr>
        <w:ind w:left="0" w:hanging="2"/>
      </w:pPr>
    </w:p>
    <w:sectPr w:rsidR="007B6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DA" w:rsidRDefault="00687EDA" w:rsidP="006038D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87EDA" w:rsidRDefault="00687EDA" w:rsidP="006038D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DA" w:rsidRDefault="00687EDA" w:rsidP="006038D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87EDA" w:rsidRDefault="00687EDA" w:rsidP="006038D3">
      <w:pPr>
        <w:spacing w:after="0" w:line="240" w:lineRule="auto"/>
        <w:ind w:left="0" w:hanging="2"/>
      </w:pPr>
      <w:r>
        <w:continuationSeparator/>
      </w:r>
    </w:p>
  </w:footnote>
  <w:footnote w:id="1">
    <w:p w:rsidR="006038D3" w:rsidRDefault="006038D3" w:rsidP="006038D3">
      <w:pPr>
        <w:spacing w:after="0" w:line="240" w:lineRule="auto"/>
        <w:ind w:left="0" w:hanging="2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>De 1° a 4° se convoca solo para espacios curriculares de Plan 2018; de 5° año para espacios curriculares de Plan de Estudio 2001 y 2018. En el caso de 5° año para las asignaturas que se escinden o unifican se convoca de manera conjunta.</w:t>
      </w:r>
    </w:p>
    <w:p w:rsidR="006038D3" w:rsidRDefault="006038D3" w:rsidP="006038D3">
      <w:pPr>
        <w:spacing w:after="0" w:line="240" w:lineRule="auto"/>
        <w:ind w:left="0" w:hanging="2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61012"/>
    <w:multiLevelType w:val="multilevel"/>
    <w:tmpl w:val="6A001BBC"/>
    <w:lvl w:ilvl="0">
      <w:start w:val="1"/>
      <w:numFmt w:val="decimal"/>
      <w:lvlText w:val="%1."/>
      <w:lvlJc w:val="left"/>
      <w:pPr>
        <w:ind w:left="382" w:hanging="383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D3"/>
    <w:rsid w:val="006038D3"/>
    <w:rsid w:val="00687EDA"/>
    <w:rsid w:val="007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8B49"/>
  <w15:chartTrackingRefBased/>
  <w15:docId w15:val="{B94763EB-9EE8-42E4-B569-D29B36AF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D3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Soloaga</dc:creator>
  <cp:keywords/>
  <dc:description/>
  <cp:lastModifiedBy>Magdalena Soloaga</cp:lastModifiedBy>
  <cp:revision>1</cp:revision>
  <dcterms:created xsi:type="dcterms:W3CDTF">2021-12-21T22:04:00Z</dcterms:created>
  <dcterms:modified xsi:type="dcterms:W3CDTF">2021-12-21T22:05:00Z</dcterms:modified>
</cp:coreProperties>
</file>